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left="0" w:leftChars="0" w:right="0" w:rightChars="0" w:firstLine="0" w:firstLineChars="0"/>
        <w:jc w:val="center"/>
        <w:rPr>
          <w:rFonts w:hint="eastAsia" w:ascii="宋体" w:hAnsi="宋体" w:eastAsia="宋体" w:cs="宋体"/>
          <w:kern w:val="2"/>
          <w:sz w:val="32"/>
          <w:szCs w:val="32"/>
          <w:lang w:val="en-US" w:eastAsia="zh-CN"/>
        </w:rPr>
      </w:pPr>
      <w:r>
        <w:rPr>
          <w:rFonts w:hint="eastAsia" w:ascii="宋体" w:hAnsi="宋体" w:eastAsia="宋体" w:cs="宋体"/>
          <w:b/>
          <w:bCs/>
          <w:sz w:val="32"/>
          <w:szCs w:val="32"/>
        </w:rPr>
        <w:t>安徽</w:t>
      </w:r>
      <w:r>
        <w:rPr>
          <w:rFonts w:hint="eastAsia" w:ascii="宋体" w:hAnsi="宋体" w:eastAsia="宋体" w:cs="宋体"/>
          <w:b/>
          <w:bCs/>
          <w:sz w:val="32"/>
          <w:szCs w:val="32"/>
          <w:lang w:eastAsia="zh-CN"/>
        </w:rPr>
        <w:t>三联学院运动场专业照明</w:t>
      </w:r>
      <w:r>
        <w:rPr>
          <w:rFonts w:hint="eastAsia" w:ascii="宋体" w:hAnsi="宋体" w:eastAsia="宋体" w:cs="宋体"/>
          <w:b/>
          <w:bCs/>
          <w:sz w:val="32"/>
          <w:szCs w:val="32"/>
          <w:lang w:val="en-US" w:eastAsia="zh-CN"/>
        </w:rPr>
        <w:t>要求</w:t>
      </w:r>
    </w:p>
    <w:p>
      <w:pPr>
        <w:keepNext w:val="0"/>
        <w:keepLines w:val="0"/>
        <w:pageBreakBefore w:val="0"/>
        <w:widowControl/>
        <w:kinsoku/>
        <w:wordWrap/>
        <w:overflowPunct/>
        <w:topLinePunct w:val="0"/>
        <w:autoSpaceDE/>
        <w:autoSpaceDN/>
        <w:bidi w:val="0"/>
        <w:ind w:leftChars="0"/>
        <w:textAlignment w:val="auto"/>
        <w:rPr>
          <w:rFonts w:hint="eastAsia" w:ascii="宋体" w:hAnsi="宋体" w:eastAsia="宋体" w:cs="宋体"/>
          <w:b/>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left="0" w:leftChars="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一、现场情况</w:t>
      </w:r>
    </w:p>
    <w:p>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Chars="0" w:right="0" w:rightChars="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本工程现场位于金寨路与紫云路交口安徽三联学院生活区内运动场，现场情况为运动场目前无专用照明，仅有约十年前为安全保卫需要所安装的</w:t>
      </w:r>
      <w:r>
        <w:rPr>
          <w:rFonts w:hint="eastAsia" w:ascii="宋体" w:hAnsi="宋体" w:eastAsia="宋体" w:cs="宋体"/>
          <w:sz w:val="24"/>
          <w:szCs w:val="24"/>
          <w:lang w:val="en-US" w:eastAsia="zh-CN"/>
        </w:rPr>
        <w:t>25米高杆灯作为整体泛光照明，无法保证学生晚间运动及训练需要。随着学生晚间运动及训练需求的增加，要求对运动场内网球场（双场地）、手球场、篮球场（六个标准篮球场地）增加专业照明，以解决学生晚上的运动及训练需求，减少</w:t>
      </w:r>
      <w:r>
        <w:rPr>
          <w:rFonts w:hint="eastAsia" w:ascii="宋体" w:hAnsi="宋体" w:eastAsia="宋体" w:cs="宋体"/>
          <w:sz w:val="24"/>
          <w:szCs w:val="24"/>
          <w:lang w:eastAsia="zh-CN"/>
        </w:rPr>
        <w:t>安全隐患；</w:t>
      </w:r>
      <w:r>
        <w:rPr>
          <w:rFonts w:hint="eastAsia" w:ascii="宋体" w:hAnsi="宋体" w:eastAsia="宋体" w:cs="宋体"/>
          <w:sz w:val="24"/>
          <w:szCs w:val="24"/>
          <w:lang w:val="en-US" w:eastAsia="zh-CN"/>
        </w:rPr>
        <w:t>并适当兼顾可能有的比赛需求</w:t>
      </w:r>
      <w:r>
        <w:rPr>
          <w:rFonts w:hint="eastAsia" w:ascii="宋体" w:hAnsi="宋体" w:eastAsia="宋体" w:cs="宋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left="0" w:leftChars="0"/>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二、要求（具体由投标单位深化设计和核算，必须确保使用效果）</w:t>
      </w:r>
    </w:p>
    <w:p>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网球场（双场地）在球场南北两侧边（边网或马道处）各增加四套球场专用灯具（一杆双灯），平行布置于赛场边线两侧，两球场中间各增加四套一杆四灯（双方向各两盏，共用灯杆）进行补光，使用6-8米灯杆，尽量减少场地占用。共计12杆32灯，具体布置方式见后叙方案。</w:t>
      </w:r>
    </w:p>
    <w:p>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2、手球场在球场东西两侧长边围栏处各增加四套球场专用灯具（一杆双灯），共计8杆16灯 ，具体布置方式见后叙方案。</w:t>
      </w:r>
    </w:p>
    <w:p>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Chars="0" w:right="0" w:rightChars="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3、篮球场在球场纵向（南北侧）每个球场增加三套球场专用灯，其中两排球场中间共用灯杆，南侧中间球场南边因有旗杆故不设置，共24杆33灯，具体布置方式见后续方案。</w:t>
      </w: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left="0" w:leftChars="0"/>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三、</w:t>
      </w:r>
      <w:r>
        <w:rPr>
          <w:rFonts w:hint="eastAsia" w:ascii="宋体" w:hAnsi="宋体" w:eastAsia="宋体" w:cs="宋体"/>
          <w:b/>
          <w:bCs/>
          <w:kern w:val="2"/>
          <w:sz w:val="24"/>
          <w:szCs w:val="24"/>
          <w:lang w:val="en-US" w:eastAsia="zh-CN" w:bidi="ar-SA"/>
        </w:rPr>
        <w:t>简图及说明</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一）网球场</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1、网球场所的照度要求（GB）：</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业余比赛（训练）：150lx－300lx</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一般比赛：300lx－500lx</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正式比赛：500－750－更高（1500lx）。</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2、安装环境说明：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网球场地的四周围挡网高度为4米，室外球场上空和端线两侧不应设置灯具。室外球场灯具应设置在两侧围挡网距地面高6-8米以上，灯光从球场两侧场面均匀照射。</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3、专业建议：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1）灯具采用专业灯具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2）光源功率根据灯具高度、布灯密度和光照需求采用LED300w。全开照度大于</w:t>
      </w:r>
      <w:r>
        <w:rPr>
          <w:rFonts w:hint="eastAsia" w:ascii="宋体" w:hAnsi="宋体" w:eastAsia="宋体" w:cs="宋体"/>
          <w:b/>
          <w:bCs/>
          <w:sz w:val="24"/>
          <w:szCs w:val="24"/>
          <w:lang w:val="en-US" w:eastAsia="zh-CN"/>
        </w:rPr>
        <w:t>350Lux（标准比赛照度）</w:t>
      </w:r>
      <w:r>
        <w:rPr>
          <w:rFonts w:hint="eastAsia" w:ascii="宋体" w:hAnsi="宋体" w:eastAsia="宋体" w:cs="宋体"/>
          <w:sz w:val="24"/>
          <w:szCs w:val="24"/>
          <w:lang w:val="en-US" w:eastAsia="zh-CN"/>
        </w:rPr>
        <w:t>，半开照度大于</w:t>
      </w:r>
      <w:r>
        <w:rPr>
          <w:rFonts w:hint="eastAsia" w:ascii="宋体" w:hAnsi="宋体" w:eastAsia="宋体" w:cs="宋体"/>
          <w:b/>
          <w:bCs/>
          <w:sz w:val="24"/>
          <w:szCs w:val="24"/>
          <w:lang w:val="en-US" w:eastAsia="zh-CN"/>
        </w:rPr>
        <w:t>150Lux（日常训练照度）</w:t>
      </w:r>
      <w:r>
        <w:rPr>
          <w:rFonts w:hint="eastAsia" w:ascii="宋体" w:hAnsi="宋体" w:eastAsia="宋体" w:cs="宋体"/>
          <w:sz w:val="24"/>
          <w:szCs w:val="24"/>
          <w:lang w:val="en-US" w:eastAsia="zh-CN"/>
        </w:rPr>
        <w:t>，能分别满足常规比赛和日常训练用，并兼顾节能需求</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b/>
          <w:bCs/>
          <w:sz w:val="24"/>
          <w:szCs w:val="24"/>
          <w:lang w:val="en-US" w:eastAsia="zh-CN"/>
        </w:rPr>
        <w:t>根据不同比赛级别，灯光可分组控制</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4）灯具高度在6-8米为宜，安装在人的视线上部位置；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5）灯具间距大一些，可适当降低眩光程度</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cs="宋体"/>
          <w:sz w:val="24"/>
          <w:szCs w:val="24"/>
          <w:lang w:val="en-US" w:eastAsia="zh-CN"/>
        </w:rPr>
        <w:t>图纸</w:t>
      </w:r>
      <w:r>
        <w:rPr>
          <w:rFonts w:hint="eastAsia" w:ascii="宋体" w:hAnsi="宋体" w:eastAsia="宋体" w:cs="宋体"/>
          <w:sz w:val="24"/>
          <w:szCs w:val="24"/>
          <w:lang w:val="en-US" w:eastAsia="zh-CN"/>
        </w:rPr>
        <w:t>及控制（具体以CAD图和二次优化为准）</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rPr>
          <w:rFonts w:hint="default" w:ascii="宋体" w:hAnsi="宋体" w:eastAsia="宋体" w:cs="宋体"/>
          <w:sz w:val="24"/>
          <w:szCs w:val="24"/>
          <w:highlight w:val="none"/>
          <w:lang w:val="en-US" w:eastAsia="zh-CN"/>
        </w:rPr>
      </w:pPr>
      <w:bookmarkStart w:id="0" w:name="_GoBack"/>
      <w:r>
        <w:rPr>
          <w:rFonts w:hint="eastAsia" w:ascii="宋体" w:hAnsi="宋体" w:cs="宋体"/>
          <w:sz w:val="24"/>
          <w:szCs w:val="24"/>
          <w:highlight w:val="none"/>
          <w:lang w:val="en-US" w:eastAsia="zh-CN"/>
        </w:rPr>
        <w:t>1）投标人提供深化设计图纸（</w:t>
      </w:r>
      <w:r>
        <w:rPr>
          <w:rFonts w:hint="eastAsia" w:ascii="宋体" w:hAnsi="宋体" w:eastAsia="宋体" w:cs="宋体"/>
          <w:sz w:val="24"/>
          <w:szCs w:val="24"/>
          <w:highlight w:val="none"/>
          <w:lang w:val="en-US" w:eastAsia="zh-CN"/>
        </w:rPr>
        <w:t>CAD图</w:t>
      </w:r>
      <w:r>
        <w:rPr>
          <w:rFonts w:hint="eastAsia" w:ascii="宋体" w:hAnsi="宋体" w:cs="宋体"/>
          <w:sz w:val="24"/>
          <w:szCs w:val="24"/>
          <w:highlight w:val="none"/>
          <w:lang w:val="en-US" w:eastAsia="zh-CN"/>
        </w:rPr>
        <w:t>）</w:t>
      </w:r>
      <w:r>
        <w:rPr>
          <w:rFonts w:hint="eastAsia" w:ascii="宋体" w:hAnsi="宋体" w:cs="宋体"/>
          <w:b w:val="0"/>
          <w:bCs w:val="0"/>
          <w:color w:val="auto"/>
          <w:sz w:val="24"/>
          <w:szCs w:val="24"/>
          <w:highlight w:val="none"/>
          <w:lang w:val="en-US" w:eastAsia="zh-CN"/>
        </w:rPr>
        <w:t>；</w:t>
      </w:r>
    </w:p>
    <w:bookmarkEnd w:id="0"/>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通过控制部分调整使用场景：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全开--专业方案：12杆32灯（＞350Lux，训练及比赛用）</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半开--普通方案：12杆16灯（＞150Lux，活动及军训用）</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手球场</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1、手球场所的照度要求（GB）：</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业余比赛（训练）：150lx－300lx</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一般比赛：300lx－500lx</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正式比赛：500－750－更高（1500lx）。</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2、安装环境说明：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40" w:firstLineChars="1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网球场地的四周围挡网高度为4米，室外球场上空和端线两侧不应设置灯具。室外球场灯具应设置在两侧围挡网距地面高6-8米以上，灯光从球场两侧场面均匀照射。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3、专业建议：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1）灯具采用专业灯具 ；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2）光源功率根据灯具高度、布灯密度和光照需求采用LED300w，全开照度大于</w:t>
      </w:r>
      <w:r>
        <w:rPr>
          <w:rFonts w:hint="eastAsia" w:ascii="宋体" w:hAnsi="宋体" w:eastAsia="宋体" w:cs="宋体"/>
          <w:b/>
          <w:bCs/>
          <w:sz w:val="24"/>
          <w:szCs w:val="24"/>
          <w:lang w:val="en-US" w:eastAsia="zh-CN"/>
        </w:rPr>
        <w:t>350Lux（标准比赛照度）</w:t>
      </w:r>
      <w:r>
        <w:rPr>
          <w:rFonts w:hint="eastAsia" w:ascii="宋体" w:hAnsi="宋体" w:eastAsia="宋体" w:cs="宋体"/>
          <w:sz w:val="24"/>
          <w:szCs w:val="24"/>
          <w:lang w:val="en-US" w:eastAsia="zh-CN"/>
        </w:rPr>
        <w:t>，半开照度大于</w:t>
      </w:r>
      <w:r>
        <w:rPr>
          <w:rFonts w:hint="eastAsia" w:ascii="宋体" w:hAnsi="宋体" w:eastAsia="宋体" w:cs="宋体"/>
          <w:b/>
          <w:bCs/>
          <w:sz w:val="24"/>
          <w:szCs w:val="24"/>
          <w:lang w:val="en-US" w:eastAsia="zh-CN"/>
        </w:rPr>
        <w:t>150Lux（日常训练照度）</w:t>
      </w:r>
      <w:r>
        <w:rPr>
          <w:rFonts w:hint="eastAsia" w:ascii="宋体" w:hAnsi="宋体" w:eastAsia="宋体" w:cs="宋体"/>
          <w:sz w:val="24"/>
          <w:szCs w:val="24"/>
          <w:lang w:val="en-US" w:eastAsia="zh-CN"/>
        </w:rPr>
        <w:t>，能分别满足常规比赛和日常训练用，并兼顾节能需求</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b/>
          <w:bCs/>
          <w:sz w:val="24"/>
          <w:szCs w:val="24"/>
          <w:lang w:val="en-US" w:eastAsia="zh-CN"/>
        </w:rPr>
        <w:t>根据不同比赛级别，灯光可分组控制</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4）灯具高度在6-8米为宜，安装在人的视线上部位置；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5）灯具间距大一些，可适当降低眩光程度</w:t>
      </w:r>
      <w:r>
        <w:rPr>
          <w:rFonts w:hint="eastAsia" w:ascii="宋体" w:hAnsi="宋体" w:cs="宋体"/>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right="0" w:rightChars="0"/>
        <w:jc w:val="both"/>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图纸</w:t>
      </w:r>
      <w:r>
        <w:rPr>
          <w:rFonts w:hint="eastAsia" w:ascii="宋体" w:hAnsi="宋体" w:eastAsia="宋体" w:cs="宋体"/>
          <w:sz w:val="24"/>
          <w:szCs w:val="24"/>
          <w:lang w:val="en-US" w:eastAsia="zh-CN"/>
        </w:rPr>
        <w:t>及控制（具体以CAD图和二次优化为准）</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投标人提供深化设计图纸（</w:t>
      </w:r>
      <w:r>
        <w:rPr>
          <w:rFonts w:hint="eastAsia" w:ascii="宋体" w:hAnsi="宋体" w:eastAsia="宋体" w:cs="宋体"/>
          <w:sz w:val="24"/>
          <w:szCs w:val="24"/>
          <w:highlight w:val="none"/>
          <w:lang w:val="en-US" w:eastAsia="zh-CN"/>
        </w:rPr>
        <w:t>CAD图</w:t>
      </w:r>
      <w:r>
        <w:rPr>
          <w:rFonts w:hint="eastAsia" w:ascii="宋体" w:hAnsi="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2）通过控制部分调整使用场景：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全开--专业方案：＞350Lux，8杆16灯（训练及比赛用）</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半开--普通方案：＞150Lux，8杆8灯（活动及军训用）</w:t>
      </w:r>
      <w:r>
        <w:rPr>
          <w:rFonts w:hint="eastAsia" w:ascii="宋体" w:hAnsi="宋体" w:cs="宋体"/>
          <w:sz w:val="24"/>
          <w:szCs w:val="24"/>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篮球场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lang w:val="en-US" w:eastAsia="zh-CN"/>
        </w:rPr>
        <w:t>篮球场专业比赛场地一般为室内，该处场地较大，且多为学生训练或简单比赛，如按专业比赛场地设计则成本过高，故采用普通方案，每球场6杆6灯，照度大于150Lux。</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2、安装环境说明：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40" w:firstLineChars="1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篮球场地四周无围挡网，南侧有旗杆如安装灯具会影响升旗，故布置五个半球场灯光，达到五个场地可以比赛，一个场地可业余锻炼。灯光从球场两侧场面均匀照射。</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3、专业建议：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1）灯具采用专业灯具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2）光源功率根据灯具高度、布灯密度和光照需求采用LED200w，全开照度大于150Lux，能分别满足业余比赛和日常训练用</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b/>
          <w:bCs/>
          <w:sz w:val="24"/>
          <w:szCs w:val="24"/>
          <w:lang w:val="en-US" w:eastAsia="zh-CN"/>
        </w:rPr>
        <w:t>根据不同比赛级别，灯光可分组控制</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4）灯具高度在6-8米为宜，安装在人的视线上部位置；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5）灯具间距大一些，可适当降低眩光程度</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cs="宋体"/>
          <w:sz w:val="24"/>
          <w:szCs w:val="24"/>
          <w:lang w:val="en-US" w:eastAsia="zh-CN"/>
        </w:rPr>
        <w:t>图纸</w:t>
      </w:r>
      <w:r>
        <w:rPr>
          <w:rFonts w:hint="eastAsia" w:ascii="宋体" w:hAnsi="宋体" w:eastAsia="宋体" w:cs="宋体"/>
          <w:sz w:val="24"/>
          <w:szCs w:val="24"/>
          <w:lang w:val="en-US" w:eastAsia="zh-CN"/>
        </w:rPr>
        <w:t>及控制（具体以CAD图和二次优化为准）</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cs="宋体"/>
          <w:sz w:val="24"/>
          <w:szCs w:val="24"/>
          <w:highlight w:val="none"/>
          <w:lang w:val="en-US" w:eastAsia="zh-CN"/>
        </w:rPr>
        <w:t>投标人提供深化设计图纸（</w:t>
      </w:r>
      <w:r>
        <w:rPr>
          <w:rFonts w:hint="eastAsia" w:ascii="宋体" w:hAnsi="宋体" w:eastAsia="宋体" w:cs="宋体"/>
          <w:sz w:val="24"/>
          <w:szCs w:val="24"/>
          <w:highlight w:val="none"/>
          <w:lang w:val="en-US" w:eastAsia="zh-CN"/>
        </w:rPr>
        <w:t>CAD图</w:t>
      </w:r>
      <w:r>
        <w:rPr>
          <w:rFonts w:hint="eastAsia" w:ascii="宋体" w:hAnsi="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2）通过控制部分调整使用场景：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全开--专业方案：＞350Lux，8杆16灯（训练及比赛用）</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半开--普通方案：＞150Lux，8杆8灯（活动及军训用）</w:t>
      </w:r>
      <w:r>
        <w:rPr>
          <w:rFonts w:hint="eastAsia" w:ascii="宋体" w:hAnsi="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left="0" w:leftChars="0"/>
        <w:textAlignment w:val="auto"/>
        <w:rPr>
          <w:rFonts w:hint="eastAsia" w:ascii="宋体" w:hAnsi="宋体" w:eastAsia="宋体" w:cs="宋体"/>
          <w:b/>
          <w:bCs/>
          <w:sz w:val="24"/>
          <w:szCs w:val="24"/>
          <w:lang w:val="en-US" w:eastAsia="zh-CN"/>
        </w:rPr>
      </w:pPr>
      <w:r>
        <w:rPr>
          <w:rFonts w:hint="eastAsia" w:ascii="宋体" w:hAnsi="宋体" w:eastAsia="宋体" w:cs="宋体"/>
          <w:b/>
          <w:bCs/>
          <w:kern w:val="2"/>
          <w:sz w:val="24"/>
          <w:szCs w:val="24"/>
          <w:lang w:val="en-US" w:eastAsia="zh-CN" w:bidi="ar-SA"/>
        </w:rPr>
        <w:t>四、</w:t>
      </w:r>
      <w:r>
        <w:rPr>
          <w:rFonts w:hint="eastAsia" w:ascii="宋体" w:hAnsi="宋体" w:eastAsia="宋体" w:cs="宋体"/>
          <w:b/>
          <w:bCs/>
          <w:sz w:val="24"/>
          <w:szCs w:val="24"/>
          <w:lang w:val="en-US" w:eastAsia="zh-CN"/>
        </w:rPr>
        <w:t>施工方案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 xml:space="preserve">   </w:t>
      </w:r>
      <w:r>
        <w:rPr>
          <w:rFonts w:hint="eastAsia" w:ascii="宋体" w:hAnsi="宋体" w:eastAsia="宋体" w:cs="宋体"/>
          <w:b w:val="0"/>
          <w:bCs w:val="0"/>
          <w:sz w:val="24"/>
          <w:szCs w:val="24"/>
          <w:lang w:val="en-US" w:eastAsia="zh-CN"/>
        </w:rPr>
        <w:t>为最大限度保护运动场外观美观，手球场灯具电源由体育中心办公楼引出，体育中心内预留总控制箱，线路沿外墙埋地敷设至手球场（需混凝土开槽）；网球场和篮球场主电源由配电房和水泵房分别引出，开槽过混凝土路面至球场处设分配电箱控制；篮球场埋地至灯杆，周围灯具底座采用挖基础浇筑混凝土方式固定，网球场和手球场尽量利用原球场立杆，减少对地面的破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注意：本方案仅为</w:t>
      </w:r>
      <w:r>
        <w:rPr>
          <w:rFonts w:hint="eastAsia" w:ascii="宋体" w:hAnsi="宋体" w:cs="宋体"/>
          <w:b w:val="0"/>
          <w:bCs w:val="0"/>
          <w:sz w:val="24"/>
          <w:szCs w:val="24"/>
          <w:lang w:val="en-US" w:eastAsia="zh-CN"/>
        </w:rPr>
        <w:t>初步</w:t>
      </w:r>
      <w:r>
        <w:rPr>
          <w:rFonts w:hint="eastAsia" w:ascii="宋体" w:hAnsi="宋体" w:eastAsia="宋体" w:cs="宋体"/>
          <w:b w:val="0"/>
          <w:bCs w:val="0"/>
          <w:sz w:val="24"/>
          <w:szCs w:val="24"/>
          <w:lang w:val="en-US" w:eastAsia="zh-CN"/>
        </w:rPr>
        <w:t>要求，具体施工方案由中标方二次深化设计（</w:t>
      </w:r>
      <w:r>
        <w:rPr>
          <w:rFonts w:hint="eastAsia" w:ascii="宋体" w:hAnsi="宋体" w:eastAsia="宋体" w:cs="宋体"/>
          <w:b/>
          <w:bCs/>
          <w:sz w:val="24"/>
          <w:szCs w:val="24"/>
          <w:lang w:val="en-US" w:eastAsia="zh-CN"/>
        </w:rPr>
        <w:t>深化设计费用含在投标报价中</w:t>
      </w:r>
      <w:r>
        <w:rPr>
          <w:rFonts w:hint="eastAsia" w:ascii="宋体" w:hAnsi="宋体" w:eastAsia="宋体" w:cs="宋体"/>
          <w:b w:val="0"/>
          <w:bCs w:val="0"/>
          <w:sz w:val="24"/>
          <w:szCs w:val="24"/>
          <w:lang w:val="en-US" w:eastAsia="zh-CN"/>
        </w:rPr>
        <w:t>）并经学校相关部门审批通过方可实施，</w:t>
      </w:r>
      <w:r>
        <w:rPr>
          <w:rFonts w:hint="eastAsia" w:ascii="宋体" w:hAnsi="宋体" w:eastAsia="宋体" w:cs="宋体"/>
          <w:b/>
          <w:bCs/>
          <w:sz w:val="24"/>
          <w:szCs w:val="24"/>
          <w:lang w:val="en-US" w:eastAsia="zh-CN"/>
        </w:rPr>
        <w:t>评价标准为满足使用功能和符合现场实际情况为准</w:t>
      </w:r>
      <w:r>
        <w:rPr>
          <w:rFonts w:hint="eastAsia" w:ascii="宋体" w:hAnsi="宋体" w:eastAsia="宋体" w:cs="宋体"/>
          <w:b w:val="0"/>
          <w:bCs w:val="0"/>
          <w:sz w:val="24"/>
          <w:szCs w:val="24"/>
          <w:lang w:val="en-US" w:eastAsia="zh-CN"/>
        </w:rPr>
        <w:t>，并满足以下要求：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1、投标人自行考察配电引入接口及管线走向是否满足要求及现场施工条件，</w:t>
      </w:r>
      <w:r>
        <w:rPr>
          <w:rFonts w:hint="eastAsia" w:ascii="宋体" w:hAnsi="宋体" w:eastAsia="宋体" w:cs="宋体"/>
          <w:b/>
          <w:bCs/>
          <w:sz w:val="24"/>
          <w:szCs w:val="24"/>
          <w:lang w:val="en-US" w:eastAsia="zh-CN"/>
        </w:rPr>
        <w:t>后期不以此作为变更费用理由</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lang w:val="en-US" w:eastAsia="zh-CN" w:bidi="ar-SA"/>
        </w:rPr>
        <w:t>2、</w:t>
      </w:r>
      <w:r>
        <w:rPr>
          <w:rFonts w:hint="eastAsia" w:ascii="宋体" w:hAnsi="宋体" w:eastAsia="宋体" w:cs="宋体"/>
          <w:b w:val="0"/>
          <w:bCs w:val="0"/>
          <w:sz w:val="24"/>
          <w:szCs w:val="24"/>
          <w:lang w:val="en-US" w:eastAsia="zh-CN"/>
        </w:rPr>
        <w:t>灯具需采用专业体育场照明灯具，确保效果，灯具主体质保五年。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lang w:val="en-US" w:eastAsia="zh-CN" w:bidi="ar-SA"/>
        </w:rPr>
        <w:t>3、</w:t>
      </w:r>
      <w:r>
        <w:rPr>
          <w:rFonts w:hint="eastAsia" w:ascii="宋体" w:hAnsi="宋体" w:eastAsia="宋体" w:cs="宋体"/>
          <w:b w:val="0"/>
          <w:bCs w:val="0"/>
          <w:sz w:val="24"/>
          <w:szCs w:val="24"/>
          <w:lang w:val="en-US" w:eastAsia="zh-CN"/>
        </w:rPr>
        <w:t>灯具过路及过球场地面需自行混凝土开槽并恢复（含塑胶球场地面）</w:t>
      </w:r>
      <w:r>
        <w:rPr>
          <w:rFonts w:hint="eastAsia" w:ascii="宋体" w:hAnsi="宋体" w:eastAsia="宋体" w:cs="宋体"/>
          <w:b/>
          <w:bCs/>
          <w:sz w:val="24"/>
          <w:szCs w:val="24"/>
          <w:lang w:val="en-US" w:eastAsia="zh-CN"/>
        </w:rPr>
        <w:t>，中标人自行考虑开槽及恢复费用</w:t>
      </w:r>
      <w:r>
        <w:rPr>
          <w:rFonts w:hint="eastAsia" w:ascii="宋体" w:hAnsi="宋体"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lang w:val="en-US" w:eastAsia="zh-CN" w:bidi="ar-SA"/>
        </w:rPr>
        <w:t>4、</w:t>
      </w:r>
      <w:r>
        <w:rPr>
          <w:rFonts w:hint="eastAsia" w:ascii="宋体" w:hAnsi="宋体" w:eastAsia="宋体" w:cs="宋体"/>
          <w:b w:val="0"/>
          <w:bCs w:val="0"/>
          <w:sz w:val="24"/>
          <w:szCs w:val="24"/>
          <w:lang w:val="en-US" w:eastAsia="zh-CN"/>
        </w:rPr>
        <w:t>灯具电源及控制部分所需的一切材料（含电缆、配电柜、分配电箱等）均包含在投标总价中，配电箱需带自动计费、智能控制功能。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lang w:val="en-US" w:eastAsia="zh-CN" w:bidi="ar-SA"/>
        </w:rPr>
        <w:t>5、</w:t>
      </w:r>
      <w:r>
        <w:rPr>
          <w:rFonts w:hint="eastAsia" w:ascii="宋体" w:hAnsi="宋体" w:eastAsia="宋体" w:cs="宋体"/>
          <w:b w:val="0"/>
          <w:bCs w:val="0"/>
          <w:sz w:val="24"/>
          <w:szCs w:val="24"/>
          <w:lang w:val="en-US" w:eastAsia="zh-CN"/>
        </w:rPr>
        <w:t>为确保安全，球杆处需加设安全保护设置防止学生或运动员碰撞意外受伤，该费用包含在投标报价中。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6、具体施工项目由现场情况决定。</w:t>
      </w:r>
    </w:p>
    <w:p>
      <w:pPr>
        <w:keepNext w:val="0"/>
        <w:keepLines w:val="0"/>
        <w:pageBreakBefore w:val="0"/>
        <w:numPr>
          <w:ilvl w:val="0"/>
          <w:numId w:val="0"/>
        </w:numPr>
        <w:kinsoku/>
        <w:wordWrap/>
        <w:overflowPunct/>
        <w:topLinePunct w:val="0"/>
        <w:autoSpaceDE/>
        <w:autoSpaceDN/>
        <w:bidi w:val="0"/>
        <w:ind w:left="0" w:leftChars="0" w:firstLine="0" w:firstLineChars="0"/>
        <w:textAlignment w:val="auto"/>
        <w:rPr>
          <w:rFonts w:hint="eastAsia" w:ascii="宋体" w:hAnsi="宋体" w:eastAsia="宋体" w:cs="宋体"/>
          <w:b w:val="0"/>
          <w:bCs w:val="0"/>
          <w:sz w:val="24"/>
          <w:szCs w:val="24"/>
          <w:lang w:val="en-US" w:eastAsia="zh-CN"/>
        </w:rPr>
      </w:pPr>
    </w:p>
    <w:p>
      <w:pPr>
        <w:keepNext w:val="0"/>
        <w:keepLines w:val="0"/>
        <w:pageBreakBefore w:val="0"/>
        <w:numPr>
          <w:ilvl w:val="0"/>
          <w:numId w:val="0"/>
        </w:numPr>
        <w:kinsoku/>
        <w:wordWrap/>
        <w:overflowPunct/>
        <w:topLinePunct w:val="0"/>
        <w:autoSpaceDE/>
        <w:autoSpaceDN/>
        <w:bidi w:val="0"/>
        <w:ind w:leftChars="0"/>
        <w:textAlignment w:val="auto"/>
        <w:rPr>
          <w:rFonts w:hint="eastAsia" w:ascii="宋体" w:hAnsi="宋体" w:eastAsia="宋体" w:cs="宋体"/>
          <w:b w:val="0"/>
          <w:bCs w:val="0"/>
          <w:sz w:val="24"/>
          <w:szCs w:val="24"/>
          <w:lang w:val="en-US" w:eastAsia="zh-CN"/>
        </w:rPr>
      </w:pPr>
    </w:p>
    <w:p>
      <w:pPr>
        <w:keepNext w:val="0"/>
        <w:keepLines w:val="0"/>
        <w:pageBreakBefore w:val="0"/>
        <w:kinsoku/>
        <w:wordWrap/>
        <w:overflowPunct/>
        <w:topLinePunct w:val="0"/>
        <w:autoSpaceDE/>
        <w:autoSpaceDN/>
        <w:bidi w:val="0"/>
        <w:ind w:leftChars="0"/>
        <w:jc w:val="left"/>
        <w:textAlignment w:val="auto"/>
        <w:rPr>
          <w:rFonts w:hint="eastAsia" w:ascii="宋体" w:hAnsi="宋体" w:eastAsia="宋体" w:cs="宋体"/>
          <w:sz w:val="24"/>
          <w:szCs w:val="24"/>
          <w:lang w:val="en-US" w:eastAsia="zh-CN"/>
        </w:rPr>
      </w:pPr>
    </w:p>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EA3829"/>
    <w:multiLevelType w:val="singleLevel"/>
    <w:tmpl w:val="36EA3829"/>
    <w:lvl w:ilvl="0" w:tentative="0">
      <w:start w:val="4"/>
      <w:numFmt w:val="decimal"/>
      <w:suff w:val="nothing"/>
      <w:lvlText w:val="%1、"/>
      <w:lvlJc w:val="left"/>
    </w:lvl>
  </w:abstractNum>
  <w:abstractNum w:abstractNumId="1">
    <w:nsid w:val="5066BD7A"/>
    <w:multiLevelType w:val="singleLevel"/>
    <w:tmpl w:val="5066BD7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TJkN2I0ZmNlZDdjZDk5ODRhYTc0OWI1MjgxODgifQ=="/>
  </w:docVars>
  <w:rsids>
    <w:rsidRoot w:val="00172A27"/>
    <w:rsid w:val="01AD45FA"/>
    <w:rsid w:val="029E180F"/>
    <w:rsid w:val="050944E7"/>
    <w:rsid w:val="071C5217"/>
    <w:rsid w:val="0A9237DE"/>
    <w:rsid w:val="0BEB6F66"/>
    <w:rsid w:val="0E833DCE"/>
    <w:rsid w:val="0FD130F2"/>
    <w:rsid w:val="111F4CB7"/>
    <w:rsid w:val="119D3481"/>
    <w:rsid w:val="127B25FC"/>
    <w:rsid w:val="15C45219"/>
    <w:rsid w:val="1AD052DB"/>
    <w:rsid w:val="1E4E3205"/>
    <w:rsid w:val="206C46C2"/>
    <w:rsid w:val="215D1B78"/>
    <w:rsid w:val="22D074C6"/>
    <w:rsid w:val="23BB74C3"/>
    <w:rsid w:val="2BA76D93"/>
    <w:rsid w:val="2CA87FFC"/>
    <w:rsid w:val="2D352747"/>
    <w:rsid w:val="2DD02CA2"/>
    <w:rsid w:val="2E0E04EE"/>
    <w:rsid w:val="2EFF33AE"/>
    <w:rsid w:val="30FF630F"/>
    <w:rsid w:val="393253AF"/>
    <w:rsid w:val="3A0A1BB9"/>
    <w:rsid w:val="3A804107"/>
    <w:rsid w:val="3AF64EFF"/>
    <w:rsid w:val="3BC15DB8"/>
    <w:rsid w:val="3CDC0315"/>
    <w:rsid w:val="3DC1690C"/>
    <w:rsid w:val="40884BAB"/>
    <w:rsid w:val="424D50E2"/>
    <w:rsid w:val="42F07F6A"/>
    <w:rsid w:val="468E5A79"/>
    <w:rsid w:val="49281745"/>
    <w:rsid w:val="49D2300B"/>
    <w:rsid w:val="4C337028"/>
    <w:rsid w:val="4DF72A6A"/>
    <w:rsid w:val="4F631A12"/>
    <w:rsid w:val="52071B6C"/>
    <w:rsid w:val="535A1260"/>
    <w:rsid w:val="54E546C1"/>
    <w:rsid w:val="570A1F63"/>
    <w:rsid w:val="582B5E6B"/>
    <w:rsid w:val="592D5FB6"/>
    <w:rsid w:val="5ADC446E"/>
    <w:rsid w:val="5F9B0753"/>
    <w:rsid w:val="5FD25571"/>
    <w:rsid w:val="647B4401"/>
    <w:rsid w:val="67987117"/>
    <w:rsid w:val="68701C2F"/>
    <w:rsid w:val="68AF1AC1"/>
    <w:rsid w:val="6D341B0C"/>
    <w:rsid w:val="6F20011E"/>
    <w:rsid w:val="70881ABD"/>
    <w:rsid w:val="71941012"/>
    <w:rsid w:val="75D41361"/>
    <w:rsid w:val="76953557"/>
    <w:rsid w:val="77414860"/>
    <w:rsid w:val="7BA06B5F"/>
    <w:rsid w:val="7C002DBA"/>
    <w:rsid w:val="7D8C697F"/>
    <w:rsid w:val="7DF331BF"/>
    <w:rsid w:val="7E62143F"/>
    <w:rsid w:val="7E960C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4</Pages>
  <Words>2209</Words>
  <Characters>2381</Characters>
  <Lines>0</Lines>
  <Paragraphs>0</Paragraphs>
  <TotalTime>1</TotalTime>
  <ScaleCrop>false</ScaleCrop>
  <LinksUpToDate>false</LinksUpToDate>
  <CharactersWithSpaces>2444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2014-07-11T00:56:00Z</dcterms:created>
  <dc:creator>Administrator</dc:creator>
  <cp:lastModifiedBy>余安Whale</cp:lastModifiedBy>
  <dcterms:modified xsi:type="dcterms:W3CDTF">2023-07-14T01:42:59Z</dcterms:modified>
  <dc:title>三联学院生活区操场照明设计简图</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2B2FAAEBE2C247EDA9714C2973727D4D_13</vt:lpwstr>
  </property>
</Properties>
</file>